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January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6</w:t>
      </w:r>
      <w:bookmarkStart w:id="0" w:name="_GoBack"/>
      <w:bookmarkEnd w:id="0"/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97220AF"/>
    <w:rsid w:val="4B2A1A51"/>
    <w:rsid w:val="4D4C0DC2"/>
    <w:rsid w:val="53E22D5B"/>
    <w:rsid w:val="5486106C"/>
    <w:rsid w:val="552705D1"/>
    <w:rsid w:val="5B4D3139"/>
    <w:rsid w:val="64E90A94"/>
    <w:rsid w:val="659B2E8D"/>
    <w:rsid w:val="6A3E5BF9"/>
    <w:rsid w:val="6D3473D3"/>
    <w:rsid w:val="747A5B1F"/>
    <w:rsid w:val="76E36209"/>
    <w:rsid w:val="790462A9"/>
    <w:rsid w:val="7CE84C92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2026-02-10T18:37:48Z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4675001A53C84BBCBD6BD5A266840FBD_13</vt:lpwstr>
  </property>
  <property fmtid="{D5CDD505-2E9C-101B-9397-08002B2CF9AE}" pid="4" name="KSOProductBuildVer">
    <vt:lpwstr>1033-12.2.0.23196</vt:lpwstr>
  </property>
</Properties>
</file>