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  <w:bookmarkStart w:id="0" w:name="_GoBack"/>
      <w:bookmarkEnd w:id="0"/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</w:t>
      </w:r>
      <w:r>
        <w:rPr>
          <w:rFonts w:hint="default"/>
          <w:u w:val="thick"/>
          <w:lang w:val="en-US"/>
        </w:rPr>
        <w:t>Octobe</w:t>
      </w:r>
      <w:r>
        <w:rPr>
          <w:u w:val="thick"/>
        </w:rPr>
        <w:t>r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2022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372979"/>
    <w:rsid w:val="0074403C"/>
    <w:rsid w:val="0076574C"/>
    <w:rsid w:val="00BC12EB"/>
    <w:rsid w:val="04CB5B58"/>
    <w:rsid w:val="09D70A04"/>
    <w:rsid w:val="0DFA4F2E"/>
    <w:rsid w:val="12715584"/>
    <w:rsid w:val="27662E85"/>
    <w:rsid w:val="3B295926"/>
    <w:rsid w:val="4B2A1A51"/>
    <w:rsid w:val="552705D1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3</TotalTime>
  <ScaleCrop>false</ScaleCrop>
  <LinksUpToDate>false</LinksUpToDate>
  <CharactersWithSpaces>925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Johnson Xavier</cp:lastModifiedBy>
  <dcterms:modified xsi:type="dcterms:W3CDTF">2022-11-02T14:07:26Z</dcterms:modified>
  <dc:title>Format for monthly disclosure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24D8CA25694E4433B8560B6F7C6EE760</vt:lpwstr>
  </property>
  <property fmtid="{D5CDD505-2E9C-101B-9397-08002B2CF9AE}" pid="4" name="KSOProductBuildVer">
    <vt:lpwstr>1033-11.2.0.11380</vt:lpwstr>
  </property>
</Properties>
</file>